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1C" w:rsidRPr="00A35613" w:rsidRDefault="00CF441C" w:rsidP="00CF441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A35613">
        <w:rPr>
          <w:rFonts w:ascii="Times New Roman" w:eastAsia="黑体" w:hAnsi="Times New Roman" w:cs="Times New Roman"/>
          <w:sz w:val="44"/>
          <w:szCs w:val="44"/>
        </w:rPr>
        <w:t>2016</w:t>
      </w:r>
      <w:r w:rsidRPr="00A35613">
        <w:rPr>
          <w:rFonts w:ascii="Times New Roman" w:eastAsia="黑体" w:hAnsi="Times New Roman" w:cs="Times New Roman"/>
          <w:sz w:val="44"/>
          <w:szCs w:val="44"/>
        </w:rPr>
        <w:t>年</w:t>
      </w:r>
      <w:r>
        <w:rPr>
          <w:rFonts w:ascii="Times New Roman" w:eastAsia="黑体" w:hAnsi="Times New Roman" w:cs="Times New Roman" w:hint="eastAsia"/>
          <w:sz w:val="44"/>
          <w:szCs w:val="44"/>
        </w:rPr>
        <w:t>东莞</w:t>
      </w:r>
      <w:r w:rsidRPr="00A35613">
        <w:rPr>
          <w:rFonts w:ascii="Times New Roman" w:eastAsia="黑体" w:hAnsi="Times New Roman" w:cs="Times New Roman"/>
          <w:sz w:val="44"/>
          <w:szCs w:val="44"/>
        </w:rPr>
        <w:t>市</w:t>
      </w:r>
      <w:r w:rsidRPr="00CF441C">
        <w:rPr>
          <w:rFonts w:ascii="Times New Roman" w:eastAsia="黑体" w:hAnsi="Times New Roman" w:cs="Times New Roman" w:hint="eastAsia"/>
          <w:sz w:val="44"/>
          <w:szCs w:val="44"/>
        </w:rPr>
        <w:t>教师进修学校</w:t>
      </w:r>
      <w:r>
        <w:rPr>
          <w:rFonts w:ascii="Times New Roman" w:eastAsia="黑体" w:hAnsi="Times New Roman" w:cs="Times New Roman" w:hint="eastAsia"/>
          <w:sz w:val="44"/>
          <w:szCs w:val="44"/>
        </w:rPr>
        <w:t>部门</w:t>
      </w:r>
      <w:r w:rsidRPr="00A35613">
        <w:rPr>
          <w:rFonts w:ascii="Times New Roman" w:eastAsia="黑体" w:hAnsi="Times New Roman" w:cs="Times New Roman"/>
          <w:sz w:val="44"/>
          <w:szCs w:val="44"/>
        </w:rPr>
        <w:t>预算</w:t>
      </w:r>
    </w:p>
    <w:p w:rsidR="00CF441C" w:rsidRPr="00CF441C" w:rsidRDefault="00CF441C" w:rsidP="00382412">
      <w:pPr>
        <w:jc w:val="center"/>
        <w:rPr>
          <w:rFonts w:ascii="Times New Roman" w:eastAsia="黑体" w:hAnsi="Times New Roman" w:cs="黑体"/>
          <w:sz w:val="32"/>
          <w:szCs w:val="32"/>
        </w:rPr>
      </w:pPr>
    </w:p>
    <w:p w:rsidR="00210100" w:rsidRPr="00434078" w:rsidRDefault="00210100" w:rsidP="00CF441C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z w:val="32"/>
          <w:szCs w:val="32"/>
        </w:rPr>
        <w:t>第一部分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CF441C">
        <w:rPr>
          <w:rFonts w:ascii="Times New Roman" w:eastAsia="黑体" w:hAnsi="Times New Roman" w:cs="Times New Roman" w:hint="eastAsia"/>
          <w:sz w:val="32"/>
          <w:szCs w:val="32"/>
        </w:rPr>
        <w:t>部门概况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一、部门主要职责</w:t>
      </w:r>
    </w:p>
    <w:p w:rsidR="00210100" w:rsidRPr="00CF441C" w:rsidRDefault="0090558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东莞市教师进修学校是直属市教育局领导和管理，主要职</w:t>
      </w:r>
      <w:r w:rsidR="00210100" w:rsidRPr="00CF441C">
        <w:rPr>
          <w:rFonts w:ascii="Times New Roman" w:eastAsia="仿宋_GB2312" w:hAnsi="Times New Roman" w:cs="Times New Roman" w:hint="eastAsia"/>
          <w:sz w:val="28"/>
          <w:szCs w:val="28"/>
        </w:rPr>
        <w:t>能是负责全市中小学教师继续教育工作，被广东省教育厅认定为地级市幼儿园园长培训基地，</w:t>
      </w:r>
      <w:r w:rsidR="00AF604A">
        <w:rPr>
          <w:rFonts w:ascii="Times New Roman" w:eastAsia="仿宋_GB2312" w:hAnsi="Times New Roman" w:cs="Times New Roman" w:hint="eastAsia"/>
          <w:sz w:val="28"/>
          <w:szCs w:val="28"/>
        </w:rPr>
        <w:t>被</w:t>
      </w:r>
      <w:r w:rsidR="00210100" w:rsidRPr="00CF441C">
        <w:rPr>
          <w:rFonts w:ascii="Times New Roman" w:eastAsia="仿宋_GB2312" w:hAnsi="Times New Roman" w:cs="Times New Roman" w:hint="eastAsia"/>
          <w:sz w:val="28"/>
          <w:szCs w:val="28"/>
        </w:rPr>
        <w:t>东莞市人力资源局认定为市专业技术人员继续教育培训基地。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二、部门预算单位构成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东莞市教师进修学校</w:t>
      </w:r>
      <w:r w:rsidR="00C33174">
        <w:rPr>
          <w:rFonts w:ascii="Times New Roman" w:eastAsia="仿宋_GB2312" w:hAnsi="Times New Roman" w:cs="Times New Roman" w:hint="eastAsia"/>
          <w:sz w:val="28"/>
          <w:szCs w:val="28"/>
        </w:rPr>
        <w:t>是</w:t>
      </w:r>
      <w:r w:rsidR="0063076C">
        <w:rPr>
          <w:rFonts w:ascii="Times New Roman" w:eastAsia="仿宋_GB2312" w:hAnsi="Times New Roman" w:cs="Times New Roman" w:hint="eastAsia"/>
          <w:sz w:val="28"/>
          <w:szCs w:val="28"/>
        </w:rPr>
        <w:t>市</w:t>
      </w:r>
      <w:r w:rsidR="00C33174">
        <w:rPr>
          <w:rFonts w:ascii="Times New Roman" w:eastAsia="仿宋_GB2312" w:hAnsi="Times New Roman" w:cs="Times New Roman" w:hint="eastAsia"/>
          <w:sz w:val="28"/>
          <w:szCs w:val="28"/>
        </w:rPr>
        <w:t>教育局直属的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事业单位，内设</w:t>
      </w:r>
      <w:r w:rsidR="0063076C">
        <w:rPr>
          <w:rFonts w:ascii="Times New Roman" w:eastAsia="仿宋_GB2312" w:hAnsi="Times New Roman" w:cs="Times New Roman" w:hint="eastAsia"/>
          <w:sz w:val="28"/>
          <w:szCs w:val="28"/>
        </w:rPr>
        <w:t>校长室、办公室、培训处、教研处、后勤处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个科室。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三、人员情况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年，东莞市教师进修学校共有事业编制数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41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名，其中财政供养的编内实有在职人员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人。另外，有离退休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44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人，聘用人员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7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人。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10100" w:rsidRPr="00CF441C" w:rsidRDefault="00210100" w:rsidP="00CF441C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z w:val="32"/>
          <w:szCs w:val="32"/>
        </w:rPr>
        <w:t>第二部分</w:t>
      </w:r>
      <w:r w:rsidRPr="00CF441C">
        <w:rPr>
          <w:rFonts w:ascii="Times New Roman" w:eastAsia="黑体" w:hAnsi="Times New Roman" w:cs="Times New Roman"/>
          <w:sz w:val="32"/>
          <w:szCs w:val="32"/>
        </w:rPr>
        <w:t xml:space="preserve"> 2016</w:t>
      </w:r>
      <w:r w:rsidRPr="00CF441C">
        <w:rPr>
          <w:rFonts w:ascii="Times New Roman" w:eastAsia="黑体" w:hAnsi="Times New Roman" w:cs="Times New Roman" w:hint="eastAsia"/>
          <w:sz w:val="32"/>
          <w:szCs w:val="32"/>
        </w:rPr>
        <w:t>年部门预算情况说明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一、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2016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年财政拨款收支预算情况的说明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年财政拨款收支总预算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3822.54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万元。收入方面：一般公共预算财政拨款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3822.54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万元，其中，本年收入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万元，年初结余结转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34.45</w:t>
      </w:r>
      <w:r w:rsidR="00FC6B7C">
        <w:rPr>
          <w:rFonts w:ascii="Times New Roman" w:eastAsia="仿宋_GB2312" w:hAnsi="Times New Roman" w:cs="Times New Roman" w:hint="eastAsia"/>
          <w:sz w:val="28"/>
          <w:szCs w:val="28"/>
        </w:rPr>
        <w:t>万元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。支出方面：教育支出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3775.92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万元，住房保障支出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46.62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二、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2016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年一般公共预算当年财政拨款情况说明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（一）一般公共预算当年财政拨款规模变化情况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年，本部门一般公共预算当年财政拨款收入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万元，比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年预算数增加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239.89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万元，比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年执行数减少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1567.47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万元。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（二）一般公共预算当年财政拨款支出结构情况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年，本部门一般公共预算当年财政拨款支出</w:t>
      </w:r>
      <w:r w:rsidR="00905580" w:rsidRPr="00CF441C">
        <w:rPr>
          <w:rFonts w:ascii="Times New Roman" w:eastAsia="仿宋_GB2312" w:hAnsi="Times New Roman" w:cs="Times New Roman" w:hint="eastAsia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万元，其中：教育支出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3741.47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98.8%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，住房保障支出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46.62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1.2%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三、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2016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年一般公共预算当年财政拨款基本支出情况说明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年一般公共预算当年财政拨款基本支出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961.86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万元，其中：人员经费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918.49</w:t>
      </w:r>
      <w:r w:rsidR="00AF604A">
        <w:rPr>
          <w:rFonts w:ascii="Times New Roman" w:eastAsia="仿宋_GB2312" w:hAnsi="Times New Roman" w:cs="Times New Roman" w:hint="eastAsia"/>
          <w:sz w:val="28"/>
          <w:szCs w:val="28"/>
        </w:rPr>
        <w:t>万元，主要包括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基本工资、津贴补贴、奖金、社会保障缴费、绩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效工资、退休费、生活补助、住房公积金、购房补贴、其他对个人和家庭的补助支出。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公用经费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43.37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万元，主要包括：伙食补助、其他工资福利支出、办公费、差旅费、维修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(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护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)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费、公务接待费、其他交通费、其他商品和服务支出。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四、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2016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年一般公共预算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“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三公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”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经费预算情况说明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三公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经费预算数为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万元，其中：因公出国（境）费用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0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万元，公车购置费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0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万元，公车运行维护费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10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万元，公务接待费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万元。本部门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年计划出国组团数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0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个，计划购置公车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0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辆，公车</w:t>
      </w:r>
      <w:proofErr w:type="gramStart"/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保有数</w:t>
      </w:r>
      <w:proofErr w:type="gramEnd"/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辆。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三公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经费预算比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三公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经费预算减少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</w:t>
      </w:r>
      <w:r w:rsidR="00AF604A">
        <w:rPr>
          <w:rFonts w:ascii="Times New Roman" w:eastAsia="仿宋_GB2312" w:hAnsi="Times New Roman" w:cs="Times New Roman" w:hint="eastAsia"/>
          <w:sz w:val="28"/>
          <w:szCs w:val="28"/>
        </w:rPr>
        <w:t>万元，其中：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公车运行维护费减少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5</w:t>
      </w:r>
      <w:r w:rsidR="00AF604A">
        <w:rPr>
          <w:rFonts w:ascii="Times New Roman" w:eastAsia="仿宋_GB2312" w:hAnsi="Times New Roman" w:cs="Times New Roman" w:hint="eastAsia"/>
          <w:sz w:val="28"/>
          <w:szCs w:val="28"/>
        </w:rPr>
        <w:t>万元，变化的主要原因是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12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月份申请报废了</w:t>
      </w:r>
      <w:proofErr w:type="gramStart"/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一辆黄标车</w:t>
      </w:r>
      <w:proofErr w:type="gramEnd"/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，公务接待费减少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4</w:t>
      </w:r>
      <w:r w:rsidR="00AF604A">
        <w:rPr>
          <w:rFonts w:ascii="Times New Roman" w:eastAsia="仿宋_GB2312" w:hAnsi="Times New Roman" w:cs="Times New Roman" w:hint="eastAsia"/>
          <w:sz w:val="28"/>
          <w:szCs w:val="28"/>
        </w:rPr>
        <w:t>万元，变化的主要原因是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响应中央厉行节约的规定，减少了一些公务接待费用。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五、</w:t>
      </w:r>
      <w:r w:rsidRPr="00CF441C">
        <w:rPr>
          <w:rFonts w:ascii="Times New Roman" w:eastAsia="黑体" w:hAnsi="Times New Roman" w:cs="Times New Roman"/>
          <w:spacing w:val="-10"/>
          <w:sz w:val="32"/>
          <w:szCs w:val="32"/>
        </w:rPr>
        <w:t>2016</w:t>
      </w: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年收支预算情况说明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（一）总体情况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按照综合预算的原则，本部门所有收入和支出均纳入部门预算管理。收入包括：财政拨款收入；支出包括：教育支出、住房保障支出。本部门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年收支总预算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万元。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（二）收入预算情况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年收入预算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万元，其中：一般公共预算拨款收入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100%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（三）支出预算情况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本部门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年支出预算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3788.09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万元，其中：基本支出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961.86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25.4%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；项目支出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2826.23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74.6%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10100" w:rsidRPr="00CF441C" w:rsidRDefault="00210100" w:rsidP="00CF441C">
      <w:pPr>
        <w:spacing w:line="500" w:lineRule="exact"/>
        <w:ind w:firstLineChars="200" w:firstLine="600"/>
        <w:rPr>
          <w:rFonts w:ascii="Times New Roman" w:eastAsia="黑体" w:hAnsi="Times New Roman" w:cs="Times New Roman"/>
          <w:spacing w:val="-10"/>
          <w:sz w:val="32"/>
          <w:szCs w:val="32"/>
        </w:rPr>
      </w:pPr>
      <w:r w:rsidRPr="00CF441C">
        <w:rPr>
          <w:rFonts w:ascii="Times New Roman" w:eastAsia="黑体" w:hAnsi="Times New Roman" w:cs="Times New Roman" w:hint="eastAsia"/>
          <w:spacing w:val="-10"/>
          <w:sz w:val="32"/>
          <w:szCs w:val="32"/>
        </w:rPr>
        <w:t>六、其他重要事项的情况说明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政府采购情况</w:t>
      </w:r>
      <w:r w:rsidR="00B26C64"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210100" w:rsidRPr="00CF441C" w:rsidRDefault="00210100" w:rsidP="00CF441C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441C">
        <w:rPr>
          <w:rFonts w:ascii="Times New Roman" w:eastAsia="仿宋_GB2312" w:hAnsi="Times New Roman" w:cs="Times New Roman"/>
          <w:sz w:val="28"/>
          <w:szCs w:val="28"/>
        </w:rPr>
        <w:t>2016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年，部门本级的政府采购预算总额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276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万元，其中：政府采购货物预算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26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9.4%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；政府采购服务预算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250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万元，占</w:t>
      </w:r>
      <w:r w:rsidRPr="00CF441C">
        <w:rPr>
          <w:rFonts w:ascii="Times New Roman" w:eastAsia="仿宋_GB2312" w:hAnsi="Times New Roman" w:cs="Times New Roman"/>
          <w:sz w:val="28"/>
          <w:szCs w:val="28"/>
        </w:rPr>
        <w:t>90.6%</w:t>
      </w:r>
      <w:r w:rsidRPr="00CF441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10100" w:rsidRPr="000507F2" w:rsidRDefault="00210100" w:rsidP="000507F2">
      <w:pPr>
        <w:spacing w:line="500" w:lineRule="exac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sectPr w:rsidR="00210100" w:rsidRPr="000507F2" w:rsidSect="00CF441C">
      <w:footerReference w:type="default" r:id="rId7"/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4C" w:rsidRDefault="0079654C" w:rsidP="007171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654C" w:rsidRDefault="0079654C" w:rsidP="007171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100" w:rsidRDefault="00210100">
    <w:pPr>
      <w:pStyle w:val="a6"/>
      <w:jc w:val="center"/>
      <w:rPr>
        <w:rFonts w:cs="Times New Roman"/>
      </w:rPr>
    </w:pPr>
  </w:p>
  <w:p w:rsidR="00210100" w:rsidRDefault="00210100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4C" w:rsidRDefault="0079654C" w:rsidP="007171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654C" w:rsidRDefault="0079654C" w:rsidP="007171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2"/>
    <w:rsid w:val="00015A63"/>
    <w:rsid w:val="000507F2"/>
    <w:rsid w:val="000810AA"/>
    <w:rsid w:val="000A0910"/>
    <w:rsid w:val="000D0971"/>
    <w:rsid w:val="000D6139"/>
    <w:rsid w:val="000D6C81"/>
    <w:rsid w:val="000F2A6E"/>
    <w:rsid w:val="000F6507"/>
    <w:rsid w:val="00131C1D"/>
    <w:rsid w:val="00144C88"/>
    <w:rsid w:val="001519AD"/>
    <w:rsid w:val="00156ACC"/>
    <w:rsid w:val="0016144D"/>
    <w:rsid w:val="00173727"/>
    <w:rsid w:val="00180F1F"/>
    <w:rsid w:val="00203959"/>
    <w:rsid w:val="00203FBC"/>
    <w:rsid w:val="00210100"/>
    <w:rsid w:val="00216625"/>
    <w:rsid w:val="002300D7"/>
    <w:rsid w:val="00251882"/>
    <w:rsid w:val="00256189"/>
    <w:rsid w:val="002667A8"/>
    <w:rsid w:val="002B5CF3"/>
    <w:rsid w:val="002D3CC3"/>
    <w:rsid w:val="002E7906"/>
    <w:rsid w:val="002F04EF"/>
    <w:rsid w:val="00310F96"/>
    <w:rsid w:val="00311D08"/>
    <w:rsid w:val="00326CB1"/>
    <w:rsid w:val="00330BAE"/>
    <w:rsid w:val="003402E4"/>
    <w:rsid w:val="00347B34"/>
    <w:rsid w:val="00377F74"/>
    <w:rsid w:val="003809AC"/>
    <w:rsid w:val="00381456"/>
    <w:rsid w:val="00382412"/>
    <w:rsid w:val="00383058"/>
    <w:rsid w:val="003A6701"/>
    <w:rsid w:val="003B22A5"/>
    <w:rsid w:val="004043F4"/>
    <w:rsid w:val="0041378F"/>
    <w:rsid w:val="0043192F"/>
    <w:rsid w:val="00434078"/>
    <w:rsid w:val="004345BD"/>
    <w:rsid w:val="00451C48"/>
    <w:rsid w:val="0045445E"/>
    <w:rsid w:val="00464D5A"/>
    <w:rsid w:val="00470393"/>
    <w:rsid w:val="00477DCF"/>
    <w:rsid w:val="00480C10"/>
    <w:rsid w:val="00491D34"/>
    <w:rsid w:val="004A1C5C"/>
    <w:rsid w:val="004A2B86"/>
    <w:rsid w:val="004A6B5C"/>
    <w:rsid w:val="004C6670"/>
    <w:rsid w:val="004D7C2C"/>
    <w:rsid w:val="004E37FD"/>
    <w:rsid w:val="005156A2"/>
    <w:rsid w:val="00521DC7"/>
    <w:rsid w:val="00550794"/>
    <w:rsid w:val="0055211A"/>
    <w:rsid w:val="00592CE7"/>
    <w:rsid w:val="005B689A"/>
    <w:rsid w:val="005F1CEA"/>
    <w:rsid w:val="0063076C"/>
    <w:rsid w:val="00641E4D"/>
    <w:rsid w:val="00645FE2"/>
    <w:rsid w:val="00647005"/>
    <w:rsid w:val="006641FD"/>
    <w:rsid w:val="006677B4"/>
    <w:rsid w:val="00671B7E"/>
    <w:rsid w:val="006764BB"/>
    <w:rsid w:val="00676DFE"/>
    <w:rsid w:val="00681FB1"/>
    <w:rsid w:val="006A219A"/>
    <w:rsid w:val="006B03BF"/>
    <w:rsid w:val="006D0490"/>
    <w:rsid w:val="006E0361"/>
    <w:rsid w:val="006F3C23"/>
    <w:rsid w:val="006F67C6"/>
    <w:rsid w:val="00702D73"/>
    <w:rsid w:val="0071233D"/>
    <w:rsid w:val="00712D1F"/>
    <w:rsid w:val="007171AD"/>
    <w:rsid w:val="00733014"/>
    <w:rsid w:val="00736594"/>
    <w:rsid w:val="00744C8D"/>
    <w:rsid w:val="007668B5"/>
    <w:rsid w:val="007822D5"/>
    <w:rsid w:val="007937E4"/>
    <w:rsid w:val="0079654C"/>
    <w:rsid w:val="007B23D2"/>
    <w:rsid w:val="007C2217"/>
    <w:rsid w:val="007C363D"/>
    <w:rsid w:val="007E117A"/>
    <w:rsid w:val="007E292D"/>
    <w:rsid w:val="007F524B"/>
    <w:rsid w:val="007F6380"/>
    <w:rsid w:val="008029A2"/>
    <w:rsid w:val="008065A1"/>
    <w:rsid w:val="008206E1"/>
    <w:rsid w:val="008408EC"/>
    <w:rsid w:val="00864A1A"/>
    <w:rsid w:val="00873431"/>
    <w:rsid w:val="00883E5C"/>
    <w:rsid w:val="008903A2"/>
    <w:rsid w:val="008A0F0B"/>
    <w:rsid w:val="008A755D"/>
    <w:rsid w:val="008B4575"/>
    <w:rsid w:val="008D1C3E"/>
    <w:rsid w:val="008D6AFE"/>
    <w:rsid w:val="00902728"/>
    <w:rsid w:val="00905580"/>
    <w:rsid w:val="009071E9"/>
    <w:rsid w:val="00915EA7"/>
    <w:rsid w:val="009258B4"/>
    <w:rsid w:val="00971632"/>
    <w:rsid w:val="00976D81"/>
    <w:rsid w:val="00984CA7"/>
    <w:rsid w:val="009A1C21"/>
    <w:rsid w:val="009B5280"/>
    <w:rsid w:val="009C339A"/>
    <w:rsid w:val="009E4400"/>
    <w:rsid w:val="009F582D"/>
    <w:rsid w:val="00A43237"/>
    <w:rsid w:val="00A432DB"/>
    <w:rsid w:val="00A610E1"/>
    <w:rsid w:val="00A658C3"/>
    <w:rsid w:val="00A700D7"/>
    <w:rsid w:val="00A7207A"/>
    <w:rsid w:val="00A93660"/>
    <w:rsid w:val="00AF604A"/>
    <w:rsid w:val="00B03940"/>
    <w:rsid w:val="00B071F5"/>
    <w:rsid w:val="00B113F5"/>
    <w:rsid w:val="00B1267B"/>
    <w:rsid w:val="00B15430"/>
    <w:rsid w:val="00B20E36"/>
    <w:rsid w:val="00B26C64"/>
    <w:rsid w:val="00B329A5"/>
    <w:rsid w:val="00B639AB"/>
    <w:rsid w:val="00B73A19"/>
    <w:rsid w:val="00B7737B"/>
    <w:rsid w:val="00B800E4"/>
    <w:rsid w:val="00B81F23"/>
    <w:rsid w:val="00B913B6"/>
    <w:rsid w:val="00BC080D"/>
    <w:rsid w:val="00BC10B5"/>
    <w:rsid w:val="00BD6A8F"/>
    <w:rsid w:val="00C05839"/>
    <w:rsid w:val="00C06D46"/>
    <w:rsid w:val="00C12E2E"/>
    <w:rsid w:val="00C164D1"/>
    <w:rsid w:val="00C33174"/>
    <w:rsid w:val="00C51B68"/>
    <w:rsid w:val="00C57F59"/>
    <w:rsid w:val="00C62410"/>
    <w:rsid w:val="00C62749"/>
    <w:rsid w:val="00C76610"/>
    <w:rsid w:val="00CF441C"/>
    <w:rsid w:val="00CF5002"/>
    <w:rsid w:val="00D25B82"/>
    <w:rsid w:val="00D26657"/>
    <w:rsid w:val="00D37959"/>
    <w:rsid w:val="00D748E3"/>
    <w:rsid w:val="00DA7C17"/>
    <w:rsid w:val="00DB55CE"/>
    <w:rsid w:val="00DF26D6"/>
    <w:rsid w:val="00DF52EA"/>
    <w:rsid w:val="00E13867"/>
    <w:rsid w:val="00E22E67"/>
    <w:rsid w:val="00E36EDD"/>
    <w:rsid w:val="00E60A59"/>
    <w:rsid w:val="00E66D5E"/>
    <w:rsid w:val="00E77156"/>
    <w:rsid w:val="00E81324"/>
    <w:rsid w:val="00E83E39"/>
    <w:rsid w:val="00EA131A"/>
    <w:rsid w:val="00EB2B04"/>
    <w:rsid w:val="00EB2D63"/>
    <w:rsid w:val="00ED4340"/>
    <w:rsid w:val="00ED453C"/>
    <w:rsid w:val="00F22D1F"/>
    <w:rsid w:val="00F46C79"/>
    <w:rsid w:val="00F83552"/>
    <w:rsid w:val="00FA06F8"/>
    <w:rsid w:val="00FA74EE"/>
    <w:rsid w:val="00FB216F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382412"/>
    <w:rPr>
      <w:rFonts w:cs="Calibri"/>
      <w:kern w:val="0"/>
      <w:sz w:val="22"/>
    </w:rPr>
  </w:style>
  <w:style w:type="character" w:customStyle="1" w:styleId="Char">
    <w:name w:val="无间隔 Char"/>
    <w:basedOn w:val="a0"/>
    <w:link w:val="a3"/>
    <w:uiPriority w:val="99"/>
    <w:locked/>
    <w:rsid w:val="00382412"/>
    <w:rPr>
      <w:sz w:val="22"/>
      <w:szCs w:val="22"/>
      <w:lang w:val="en-US" w:eastAsia="zh-CN"/>
    </w:rPr>
  </w:style>
  <w:style w:type="paragraph" w:styleId="a4">
    <w:name w:val="Balloon Text"/>
    <w:basedOn w:val="a"/>
    <w:link w:val="Char0"/>
    <w:uiPriority w:val="99"/>
    <w:semiHidden/>
    <w:rsid w:val="0038241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82412"/>
    <w:rPr>
      <w:sz w:val="18"/>
      <w:szCs w:val="18"/>
    </w:rPr>
  </w:style>
  <w:style w:type="paragraph" w:styleId="a5">
    <w:name w:val="header"/>
    <w:basedOn w:val="a"/>
    <w:link w:val="Char1"/>
    <w:uiPriority w:val="99"/>
    <w:rsid w:val="0071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171AD"/>
    <w:rPr>
      <w:sz w:val="18"/>
      <w:szCs w:val="18"/>
    </w:rPr>
  </w:style>
  <w:style w:type="paragraph" w:styleId="a6">
    <w:name w:val="footer"/>
    <w:basedOn w:val="a"/>
    <w:link w:val="Char2"/>
    <w:uiPriority w:val="99"/>
    <w:rsid w:val="0071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7171AD"/>
    <w:rPr>
      <w:sz w:val="18"/>
      <w:szCs w:val="18"/>
    </w:rPr>
  </w:style>
  <w:style w:type="table" w:styleId="a7">
    <w:name w:val="Table Grid"/>
    <w:basedOn w:val="a1"/>
    <w:uiPriority w:val="99"/>
    <w:rsid w:val="00EB2B0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6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382412"/>
    <w:rPr>
      <w:rFonts w:cs="Calibri"/>
      <w:kern w:val="0"/>
      <w:sz w:val="22"/>
    </w:rPr>
  </w:style>
  <w:style w:type="character" w:customStyle="1" w:styleId="Char">
    <w:name w:val="无间隔 Char"/>
    <w:basedOn w:val="a0"/>
    <w:link w:val="a3"/>
    <w:uiPriority w:val="99"/>
    <w:locked/>
    <w:rsid w:val="00382412"/>
    <w:rPr>
      <w:sz w:val="22"/>
      <w:szCs w:val="22"/>
      <w:lang w:val="en-US" w:eastAsia="zh-CN"/>
    </w:rPr>
  </w:style>
  <w:style w:type="paragraph" w:styleId="a4">
    <w:name w:val="Balloon Text"/>
    <w:basedOn w:val="a"/>
    <w:link w:val="Char0"/>
    <w:uiPriority w:val="99"/>
    <w:semiHidden/>
    <w:rsid w:val="0038241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82412"/>
    <w:rPr>
      <w:sz w:val="18"/>
      <w:szCs w:val="18"/>
    </w:rPr>
  </w:style>
  <w:style w:type="paragraph" w:styleId="a5">
    <w:name w:val="header"/>
    <w:basedOn w:val="a"/>
    <w:link w:val="Char1"/>
    <w:uiPriority w:val="99"/>
    <w:rsid w:val="0071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7171AD"/>
    <w:rPr>
      <w:sz w:val="18"/>
      <w:szCs w:val="18"/>
    </w:rPr>
  </w:style>
  <w:style w:type="paragraph" w:styleId="a6">
    <w:name w:val="footer"/>
    <w:basedOn w:val="a"/>
    <w:link w:val="Char2"/>
    <w:uiPriority w:val="99"/>
    <w:rsid w:val="0071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7171AD"/>
    <w:rPr>
      <w:sz w:val="18"/>
      <w:szCs w:val="18"/>
    </w:rPr>
  </w:style>
  <w:style w:type="table" w:styleId="a7">
    <w:name w:val="Table Grid"/>
    <w:basedOn w:val="a1"/>
    <w:uiPriority w:val="99"/>
    <w:rsid w:val="00EB2B04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2016年东莞市教师进修学校部门预算   </dc:title>
  <dc:subject/>
  <dc:creator>李峰</dc:creator>
  <cp:keywords/>
  <dc:description/>
  <cp:lastModifiedBy>微软用户</cp:lastModifiedBy>
  <cp:revision>4</cp:revision>
  <cp:lastPrinted>2016-02-16T08:00:00Z</cp:lastPrinted>
  <dcterms:created xsi:type="dcterms:W3CDTF">2016-03-18T07:41:00Z</dcterms:created>
  <dcterms:modified xsi:type="dcterms:W3CDTF">2016-03-22T02:47:00Z</dcterms:modified>
</cp:coreProperties>
</file>